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858B4" w14:textId="56243430" w:rsidR="003261FD" w:rsidRPr="00D7383B" w:rsidRDefault="007C7B49" w:rsidP="003261FD">
      <w:pPr>
        <w:widowControl/>
        <w:spacing w:line="440" w:lineRule="exact"/>
        <w:rPr>
          <w:rFonts w:ascii="標楷體" w:eastAsia="標楷體" w:hAnsi="標楷體"/>
          <w:b/>
          <w:bCs/>
          <w:color w:val="000000" w:themeColor="text1"/>
          <w:sz w:val="36"/>
          <w:szCs w:val="36"/>
        </w:rPr>
      </w:pPr>
      <w:bookmarkStart w:id="0" w:name="_Hlk187151469"/>
      <w:r w:rsidRPr="007C7B49">
        <w:rPr>
          <w:rFonts w:ascii="標楷體" w:eastAsia="標楷體" w:hAnsi="標楷體"/>
          <w:b/>
          <w:bCs/>
          <w:noProof/>
          <w:color w:val="000000" w:themeColor="text1"/>
          <w:sz w:val="36"/>
          <w:szCs w:val="36"/>
        </w:rPr>
        <mc:AlternateContent>
          <mc:Choice Requires="wps">
            <w:drawing>
              <wp:anchor distT="45720" distB="45720" distL="114300" distR="114300" simplePos="0" relativeHeight="251659264" behindDoc="0" locked="0" layoutInCell="1" allowOverlap="1" wp14:anchorId="7E77F60C" wp14:editId="5E88B90E">
                <wp:simplePos x="0" y="0"/>
                <wp:positionH relativeFrom="column">
                  <wp:posOffset>-1270</wp:posOffset>
                </wp:positionH>
                <wp:positionV relativeFrom="paragraph">
                  <wp:posOffset>-313043</wp:posOffset>
                </wp:positionV>
                <wp:extent cx="702259" cy="1404620"/>
                <wp:effectExtent l="0" t="0" r="22225" b="2032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259" cy="1404620"/>
                        </a:xfrm>
                        <a:prstGeom prst="rect">
                          <a:avLst/>
                        </a:prstGeom>
                        <a:solidFill>
                          <a:srgbClr val="FFFFFF"/>
                        </a:solidFill>
                        <a:ln w="9525">
                          <a:solidFill>
                            <a:srgbClr val="000000"/>
                          </a:solidFill>
                          <a:miter lim="800000"/>
                          <a:headEnd/>
                          <a:tailEnd/>
                        </a:ln>
                      </wps:spPr>
                      <wps:txbx>
                        <w:txbxContent>
                          <w:p w14:paraId="21FAA507" w14:textId="1466352C" w:rsidR="007C7B49" w:rsidRPr="00524885" w:rsidRDefault="007C7B49" w:rsidP="00524885">
                            <w:pPr>
                              <w:spacing w:line="320" w:lineRule="exact"/>
                              <w:jc w:val="center"/>
                              <w:rPr>
                                <w:rFonts w:ascii="Times New Roman" w:eastAsia="標楷體" w:hAnsi="Times New Roman" w:cs="Times New Roman"/>
                                <w:b/>
                                <w:bCs/>
                                <w:sz w:val="28"/>
                                <w:szCs w:val="28"/>
                              </w:rPr>
                            </w:pPr>
                            <w:r w:rsidRPr="00524885">
                              <w:rPr>
                                <w:rFonts w:ascii="Times New Roman" w:eastAsia="標楷體" w:hAnsi="Times New Roman" w:cs="Times New Roman"/>
                                <w:b/>
                                <w:bCs/>
                                <w:sz w:val="28"/>
                                <w:szCs w:val="28"/>
                              </w:rPr>
                              <w:t>附件</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E77F60C" id="_x0000_t202" coordsize="21600,21600" o:spt="202" path="m,l,21600r21600,l21600,xe">
                <v:stroke joinstyle="miter"/>
                <v:path gradientshapeok="t" o:connecttype="rect"/>
              </v:shapetype>
              <v:shape id="文字方塊 2" o:spid="_x0000_s1026" type="#_x0000_t202" style="position:absolute;margin-left:-.1pt;margin-top:-24.65pt;width:55.3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">
                <v:textbox style="mso-fit-shape-to-text:t">
                  <w:txbxContent>
                    <w:p w14:paraId="21FAA507" w14:textId="1466352C" w:rsidR="007C7B49" w:rsidRPr="00524885" w:rsidRDefault="007C7B49" w:rsidP="00524885">
                      <w:pPr>
                        <w:spacing w:line="320" w:lineRule="exact"/>
                        <w:jc w:val="center"/>
                        <w:rPr>
                          <w:rFonts w:ascii="Times New Roman" w:eastAsia="標楷體" w:hAnsi="Times New Roman" w:cs="Times New Roman"/>
                          <w:b/>
                          <w:bCs/>
                          <w:sz w:val="28"/>
                          <w:szCs w:val="28"/>
                        </w:rPr>
                      </w:pPr>
                      <w:r w:rsidRPr="00524885">
                        <w:rPr>
                          <w:rFonts w:ascii="Times New Roman" w:eastAsia="標楷體" w:hAnsi="Times New Roman" w:cs="Times New Roman"/>
                          <w:b/>
                          <w:bCs/>
                          <w:sz w:val="28"/>
                          <w:szCs w:val="28"/>
                        </w:rPr>
                        <w:t>附件</w:t>
                      </w:r>
                    </w:p>
                  </w:txbxContent>
                </v:textbox>
              </v:shape>
            </w:pict>
          </mc:Fallback>
        </mc:AlternateContent>
      </w:r>
      <w:r w:rsidR="003261FD" w:rsidRPr="00D7383B">
        <w:rPr>
          <w:rFonts w:ascii="標楷體" w:eastAsia="標楷體" w:hAnsi="標楷體" w:hint="eastAsia"/>
          <w:b/>
          <w:bCs/>
          <w:color w:val="000000" w:themeColor="text1"/>
          <w:sz w:val="36"/>
          <w:szCs w:val="36"/>
        </w:rPr>
        <w:t>中華民國證券商業同業公會「承銷商會員輔導發行公司募集與發行有價證券自律規則」第</w:t>
      </w:r>
      <w:r w:rsidR="003261FD">
        <w:rPr>
          <w:rFonts w:ascii="標楷體" w:eastAsia="標楷體" w:hAnsi="標楷體" w:hint="eastAsia"/>
          <w:b/>
          <w:bCs/>
          <w:color w:val="000000" w:themeColor="text1"/>
          <w:sz w:val="36"/>
          <w:szCs w:val="36"/>
        </w:rPr>
        <w:t>四條之二十</w:t>
      </w:r>
      <w:r w:rsidR="003261FD" w:rsidRPr="00D7383B">
        <w:rPr>
          <w:rFonts w:ascii="標楷體" w:eastAsia="標楷體" w:hAnsi="標楷體" w:hint="eastAsia"/>
          <w:b/>
          <w:bCs/>
          <w:color w:val="000000" w:themeColor="text1"/>
          <w:sz w:val="36"/>
          <w:szCs w:val="36"/>
        </w:rPr>
        <w:t>修正條文對照表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2623"/>
        <w:gridCol w:w="2914"/>
      </w:tblGrid>
      <w:tr w:rsidR="003261FD" w:rsidRPr="00946ED6" w14:paraId="3A59D47E" w14:textId="77777777" w:rsidTr="0024788F">
        <w:trPr>
          <w:trHeight w:val="393"/>
        </w:trPr>
        <w:tc>
          <w:tcPr>
            <w:tcW w:w="3211" w:type="dxa"/>
            <w:shd w:val="clear" w:color="auto" w:fill="auto"/>
          </w:tcPr>
          <w:p w14:paraId="6DAFE634" w14:textId="77777777" w:rsidR="003261FD" w:rsidRPr="009D4D46" w:rsidRDefault="003261FD" w:rsidP="00527E48">
            <w:pPr>
              <w:spacing w:line="440" w:lineRule="exact"/>
              <w:jc w:val="center"/>
              <w:rPr>
                <w:rFonts w:ascii="標楷體" w:eastAsia="標楷體" w:hAnsi="標楷體"/>
                <w:color w:val="000000" w:themeColor="text1"/>
                <w:szCs w:val="24"/>
              </w:rPr>
            </w:pPr>
            <w:r w:rsidRPr="009D4D46">
              <w:rPr>
                <w:rFonts w:ascii="標楷體" w:eastAsia="標楷體" w:hAnsi="標楷體" w:hint="eastAsia"/>
                <w:color w:val="000000" w:themeColor="text1"/>
                <w:szCs w:val="24"/>
              </w:rPr>
              <w:t>修正條文</w:t>
            </w:r>
          </w:p>
        </w:tc>
        <w:tc>
          <w:tcPr>
            <w:tcW w:w="3211" w:type="dxa"/>
            <w:shd w:val="clear" w:color="auto" w:fill="auto"/>
          </w:tcPr>
          <w:p w14:paraId="101F398D" w14:textId="77777777" w:rsidR="003261FD" w:rsidRPr="009D4D46" w:rsidRDefault="003261FD" w:rsidP="00527E48">
            <w:pPr>
              <w:spacing w:line="440" w:lineRule="exact"/>
              <w:jc w:val="center"/>
              <w:rPr>
                <w:rFonts w:ascii="標楷體" w:eastAsia="標楷體" w:hAnsi="標楷體"/>
                <w:color w:val="000000" w:themeColor="text1"/>
                <w:szCs w:val="24"/>
              </w:rPr>
            </w:pPr>
            <w:r w:rsidRPr="009D4D46">
              <w:rPr>
                <w:rFonts w:ascii="標楷體" w:eastAsia="標楷體" w:hAnsi="標楷體" w:hint="eastAsia"/>
                <w:color w:val="000000" w:themeColor="text1"/>
                <w:szCs w:val="24"/>
              </w:rPr>
              <w:t>現行條文</w:t>
            </w:r>
          </w:p>
        </w:tc>
        <w:tc>
          <w:tcPr>
            <w:tcW w:w="3212" w:type="dxa"/>
            <w:shd w:val="clear" w:color="auto" w:fill="auto"/>
          </w:tcPr>
          <w:p w14:paraId="18EF95FD" w14:textId="77777777" w:rsidR="003261FD" w:rsidRPr="009D4D46" w:rsidRDefault="003261FD" w:rsidP="00527E48">
            <w:pPr>
              <w:spacing w:line="440" w:lineRule="exact"/>
              <w:jc w:val="center"/>
              <w:rPr>
                <w:rFonts w:ascii="標楷體" w:eastAsia="標楷體" w:hAnsi="標楷體"/>
                <w:color w:val="000000" w:themeColor="text1"/>
                <w:szCs w:val="24"/>
              </w:rPr>
            </w:pPr>
            <w:r w:rsidRPr="009D4D46">
              <w:rPr>
                <w:rFonts w:ascii="標楷體" w:eastAsia="標楷體" w:hAnsi="標楷體" w:hint="eastAsia"/>
                <w:color w:val="000000" w:themeColor="text1"/>
                <w:szCs w:val="24"/>
              </w:rPr>
              <w:t>說明</w:t>
            </w:r>
          </w:p>
        </w:tc>
      </w:tr>
      <w:tr w:rsidR="00A8519F" w:rsidRPr="00A8519F" w14:paraId="2383FE9F" w14:textId="77777777" w:rsidTr="0024788F">
        <w:tc>
          <w:tcPr>
            <w:tcW w:w="3211" w:type="dxa"/>
            <w:shd w:val="clear" w:color="auto" w:fill="auto"/>
          </w:tcPr>
          <w:p w14:paraId="2339A77D" w14:textId="77777777" w:rsidR="003261FD" w:rsidRPr="00A8519F" w:rsidRDefault="003261FD" w:rsidP="00527E48">
            <w:pPr>
              <w:spacing w:line="440" w:lineRule="exact"/>
              <w:jc w:val="both"/>
              <w:rPr>
                <w:rFonts w:ascii="Times New Roman" w:eastAsia="標楷體" w:hAnsi="Times New Roman" w:cs="Times New Roman"/>
                <w:color w:val="000000" w:themeColor="text1"/>
                <w:szCs w:val="24"/>
              </w:rPr>
            </w:pPr>
            <w:r w:rsidRPr="00A8519F">
              <w:rPr>
                <w:rFonts w:ascii="Times New Roman" w:eastAsia="標楷體" w:hAnsi="Times New Roman" w:cs="Times New Roman"/>
                <w:color w:val="000000" w:themeColor="text1"/>
                <w:szCs w:val="24"/>
              </w:rPr>
              <w:t>第四條之二十</w:t>
            </w:r>
          </w:p>
          <w:p w14:paraId="75DB2559" w14:textId="77777777" w:rsidR="003261FD" w:rsidRPr="00A8519F" w:rsidRDefault="003261FD" w:rsidP="00527E48">
            <w:pPr>
              <w:spacing w:line="440" w:lineRule="exact"/>
              <w:ind w:firstLineChars="200" w:firstLine="480"/>
              <w:jc w:val="both"/>
              <w:rPr>
                <w:rFonts w:ascii="Times New Roman" w:eastAsia="標楷體" w:hAnsi="Times New Roman" w:cs="Times New Roman"/>
                <w:color w:val="000000" w:themeColor="text1"/>
                <w:szCs w:val="24"/>
                <w:u w:val="single"/>
              </w:rPr>
            </w:pPr>
            <w:r w:rsidRPr="00A8519F">
              <w:rPr>
                <w:rFonts w:ascii="Times New Roman" w:eastAsia="標楷體" w:hAnsi="Times New Roman" w:cs="Times New Roman"/>
                <w:color w:val="000000" w:themeColor="text1"/>
                <w:szCs w:val="24"/>
              </w:rPr>
              <w:t>承銷商輔導外國發行人募集與發行國際債券，得與註冊於國際證券管理機構組織</w:t>
            </w:r>
            <w:r w:rsidRPr="00A8519F">
              <w:rPr>
                <w:rFonts w:ascii="Times New Roman" w:eastAsia="標楷體" w:hAnsi="Times New Roman" w:cs="Times New Roman"/>
                <w:color w:val="000000" w:themeColor="text1"/>
                <w:szCs w:val="24"/>
              </w:rPr>
              <w:t>(IOSCO)</w:t>
            </w:r>
            <w:r w:rsidRPr="00A8519F">
              <w:rPr>
                <w:rFonts w:ascii="Times New Roman" w:eastAsia="標楷體" w:hAnsi="Times New Roman" w:cs="Times New Roman"/>
                <w:color w:val="000000" w:themeColor="text1"/>
                <w:szCs w:val="24"/>
              </w:rPr>
              <w:t>多邊瞭解備忘錄</w:t>
            </w:r>
            <w:r w:rsidRPr="00A8519F">
              <w:rPr>
                <w:rFonts w:ascii="Times New Roman" w:eastAsia="標楷體" w:hAnsi="Times New Roman" w:cs="Times New Roman"/>
                <w:color w:val="000000" w:themeColor="text1"/>
                <w:szCs w:val="24"/>
              </w:rPr>
              <w:t>(MMoU)</w:t>
            </w:r>
            <w:r w:rsidRPr="00A8519F">
              <w:rPr>
                <w:rFonts w:ascii="Times New Roman" w:eastAsia="標楷體" w:hAnsi="Times New Roman" w:cs="Times New Roman"/>
                <w:color w:val="000000" w:themeColor="text1"/>
                <w:szCs w:val="24"/>
              </w:rPr>
              <w:t>簽署會員地，領有金融業務執照且受當地主管機關監理之境外金融機構簽訂契約引介發行人予承銷商，承銷商得以所收取之手續費給付報酬予該機構。</w:t>
            </w:r>
          </w:p>
          <w:p w14:paraId="7334B759" w14:textId="09271EFB" w:rsidR="003261FD" w:rsidRPr="00A8519F" w:rsidRDefault="003261FD" w:rsidP="00527E48">
            <w:pPr>
              <w:spacing w:line="440" w:lineRule="exact"/>
              <w:ind w:firstLineChars="200" w:firstLine="480"/>
              <w:jc w:val="both"/>
              <w:rPr>
                <w:rFonts w:ascii="Times New Roman" w:eastAsia="標楷體" w:hAnsi="Times New Roman" w:cs="Times New Roman"/>
                <w:color w:val="000000" w:themeColor="text1"/>
                <w:szCs w:val="24"/>
              </w:rPr>
            </w:pPr>
            <w:r w:rsidRPr="00A8519F">
              <w:rPr>
                <w:rFonts w:ascii="Times New Roman" w:eastAsia="標楷體" w:hAnsi="Times New Roman" w:cs="Times New Roman"/>
                <w:color w:val="000000" w:themeColor="text1"/>
                <w:szCs w:val="24"/>
              </w:rPr>
              <w:t>承銷商應於契約明訂雙方之權利義務</w:t>
            </w:r>
            <w:r w:rsidR="00146126" w:rsidRPr="00A8519F">
              <w:rPr>
                <w:rFonts w:ascii="Times New Roman" w:eastAsia="標楷體" w:hAnsi="Times New Roman" w:cs="Times New Roman" w:hint="eastAsia"/>
                <w:color w:val="000000" w:themeColor="text1"/>
                <w:szCs w:val="24"/>
              </w:rPr>
              <w:t>及手續費分</w:t>
            </w:r>
            <w:r w:rsidRPr="00A8519F">
              <w:rPr>
                <w:rFonts w:ascii="Times New Roman" w:eastAsia="標楷體" w:hAnsi="Times New Roman" w:cs="Times New Roman"/>
                <w:color w:val="000000" w:themeColor="text1"/>
                <w:szCs w:val="24"/>
              </w:rPr>
              <w:t>潤之條件。</w:t>
            </w:r>
          </w:p>
          <w:p w14:paraId="486AC073" w14:textId="75D96BAD" w:rsidR="003261FD" w:rsidRPr="00A8519F" w:rsidRDefault="003261FD" w:rsidP="00527E48">
            <w:pPr>
              <w:spacing w:line="440" w:lineRule="exact"/>
              <w:ind w:firstLineChars="200" w:firstLine="480"/>
              <w:jc w:val="both"/>
              <w:rPr>
                <w:rFonts w:ascii="Times New Roman" w:eastAsia="標楷體" w:hAnsi="Times New Roman" w:cs="Times New Roman"/>
                <w:color w:val="000000" w:themeColor="text1"/>
                <w:szCs w:val="24"/>
              </w:rPr>
            </w:pPr>
            <w:r w:rsidRPr="00A8519F">
              <w:rPr>
                <w:rFonts w:ascii="Times New Roman" w:eastAsia="標楷體" w:hAnsi="Times New Roman" w:cs="Times New Roman"/>
                <w:color w:val="000000" w:themeColor="text1"/>
                <w:szCs w:val="24"/>
              </w:rPr>
              <w:t>第一項所稱國際債券以「財團法人中華民國證券櫃檯買賣中心外幣計價國際債券管理規則」第</w:t>
            </w:r>
            <w:r w:rsidR="00365FB9" w:rsidRPr="00A8519F">
              <w:rPr>
                <w:rFonts w:ascii="Times New Roman" w:eastAsia="標楷體" w:hAnsi="Times New Roman" w:cs="Times New Roman"/>
                <w:color w:val="000000" w:themeColor="text1"/>
                <w:szCs w:val="24"/>
              </w:rPr>
              <w:t>三</w:t>
            </w:r>
            <w:r w:rsidRPr="00A8519F">
              <w:rPr>
                <w:rFonts w:ascii="Times New Roman" w:eastAsia="標楷體" w:hAnsi="Times New Roman" w:cs="Times New Roman"/>
                <w:color w:val="000000" w:themeColor="text1"/>
                <w:szCs w:val="24"/>
              </w:rPr>
              <w:t>條第</w:t>
            </w:r>
            <w:r w:rsidR="00365FB9" w:rsidRPr="00A8519F">
              <w:rPr>
                <w:rFonts w:ascii="Times New Roman" w:eastAsia="標楷體" w:hAnsi="Times New Roman" w:cs="Times New Roman"/>
                <w:color w:val="000000" w:themeColor="text1"/>
                <w:szCs w:val="24"/>
              </w:rPr>
              <w:t>一</w:t>
            </w:r>
            <w:r w:rsidRPr="00A8519F">
              <w:rPr>
                <w:rFonts w:ascii="Times New Roman" w:eastAsia="標楷體" w:hAnsi="Times New Roman" w:cs="Times New Roman"/>
                <w:color w:val="000000" w:themeColor="text1"/>
                <w:szCs w:val="24"/>
              </w:rPr>
              <w:t>項第</w:t>
            </w:r>
            <w:r w:rsidR="00365FB9" w:rsidRPr="00A8519F">
              <w:rPr>
                <w:rFonts w:ascii="Times New Roman" w:eastAsia="標楷體" w:hAnsi="Times New Roman" w:cs="Times New Roman"/>
                <w:color w:val="000000" w:themeColor="text1"/>
                <w:szCs w:val="24"/>
              </w:rPr>
              <w:t>一</w:t>
            </w:r>
            <w:r w:rsidRPr="00A8519F">
              <w:rPr>
                <w:rFonts w:ascii="Times New Roman" w:eastAsia="標楷體" w:hAnsi="Times New Roman" w:cs="Times New Roman"/>
                <w:color w:val="000000" w:themeColor="text1"/>
                <w:szCs w:val="24"/>
              </w:rPr>
              <w:t>款</w:t>
            </w:r>
            <w:r w:rsidRPr="00A8519F">
              <w:rPr>
                <w:rFonts w:ascii="Times New Roman" w:eastAsia="微軟正黑體" w:hAnsi="Times New Roman" w:cs="Times New Roman"/>
                <w:color w:val="000000" w:themeColor="text1"/>
                <w:szCs w:val="24"/>
              </w:rPr>
              <w:t>、</w:t>
            </w:r>
            <w:r w:rsidRPr="00A8519F">
              <w:rPr>
                <w:rFonts w:ascii="Times New Roman" w:eastAsia="標楷體" w:hAnsi="Times New Roman" w:cs="Times New Roman"/>
                <w:color w:val="000000" w:themeColor="text1"/>
                <w:szCs w:val="24"/>
              </w:rPr>
              <w:t>第</w:t>
            </w:r>
            <w:r w:rsidR="00365FB9" w:rsidRPr="00A8519F">
              <w:rPr>
                <w:rFonts w:ascii="Times New Roman" w:eastAsia="標楷體" w:hAnsi="Times New Roman" w:cs="Times New Roman"/>
                <w:color w:val="000000" w:themeColor="text1"/>
                <w:szCs w:val="24"/>
              </w:rPr>
              <w:t>六</w:t>
            </w:r>
            <w:r w:rsidRPr="00A8519F">
              <w:rPr>
                <w:rFonts w:ascii="Times New Roman" w:eastAsia="標楷體" w:hAnsi="Times New Roman" w:cs="Times New Roman"/>
                <w:color w:val="000000" w:themeColor="text1"/>
                <w:szCs w:val="24"/>
              </w:rPr>
              <w:t>款及第</w:t>
            </w:r>
            <w:r w:rsidR="00365FB9" w:rsidRPr="00A8519F">
              <w:rPr>
                <w:rFonts w:ascii="Times New Roman" w:eastAsia="標楷體" w:hAnsi="Times New Roman" w:cs="Times New Roman"/>
                <w:color w:val="000000" w:themeColor="text1"/>
                <w:szCs w:val="24"/>
              </w:rPr>
              <w:t>七</w:t>
            </w:r>
            <w:r w:rsidRPr="00A8519F">
              <w:rPr>
                <w:rFonts w:ascii="Times New Roman" w:eastAsia="標楷體" w:hAnsi="Times New Roman" w:cs="Times New Roman"/>
                <w:color w:val="000000" w:themeColor="text1"/>
                <w:szCs w:val="24"/>
              </w:rPr>
              <w:t>款所指之債券為限。</w:t>
            </w:r>
          </w:p>
        </w:tc>
        <w:tc>
          <w:tcPr>
            <w:tcW w:w="3211" w:type="dxa"/>
            <w:shd w:val="clear" w:color="auto" w:fill="auto"/>
          </w:tcPr>
          <w:p w14:paraId="4265E401" w14:textId="77777777" w:rsidR="003261FD" w:rsidRPr="00A8519F" w:rsidRDefault="003261FD" w:rsidP="00527E48">
            <w:pPr>
              <w:spacing w:line="440" w:lineRule="exact"/>
              <w:ind w:left="240" w:hangingChars="100" w:hanging="240"/>
              <w:jc w:val="both"/>
              <w:rPr>
                <w:rFonts w:ascii="Times New Roman" w:eastAsia="標楷體" w:hAnsi="Times New Roman" w:cs="Times New Roman"/>
                <w:color w:val="000000" w:themeColor="text1"/>
                <w:szCs w:val="24"/>
              </w:rPr>
            </w:pPr>
          </w:p>
        </w:tc>
        <w:tc>
          <w:tcPr>
            <w:tcW w:w="3212" w:type="dxa"/>
            <w:shd w:val="clear" w:color="auto" w:fill="auto"/>
          </w:tcPr>
          <w:p w14:paraId="59E8C73D" w14:textId="77777777" w:rsidR="003261FD" w:rsidRPr="00A8519F" w:rsidRDefault="003261FD" w:rsidP="003261FD">
            <w:pPr>
              <w:pStyle w:val="a3"/>
              <w:numPr>
                <w:ilvl w:val="0"/>
                <w:numId w:val="1"/>
              </w:numPr>
              <w:spacing w:line="440" w:lineRule="exact"/>
              <w:ind w:leftChars="0"/>
              <w:jc w:val="both"/>
              <w:rPr>
                <w:rFonts w:ascii="Times New Roman" w:eastAsia="標楷體" w:hAnsi="Times New Roman" w:cs="Times New Roman"/>
                <w:color w:val="000000" w:themeColor="text1"/>
                <w:szCs w:val="24"/>
                <w:u w:val="single"/>
              </w:rPr>
            </w:pPr>
            <w:r w:rsidRPr="00A8519F">
              <w:rPr>
                <w:rFonts w:ascii="Times New Roman" w:eastAsia="標楷體" w:hAnsi="Times New Roman" w:cs="Times New Roman"/>
                <w:color w:val="000000" w:themeColor="text1"/>
                <w:szCs w:val="24"/>
                <w:u w:val="single"/>
              </w:rPr>
              <w:t>本條新增。</w:t>
            </w:r>
          </w:p>
          <w:p w14:paraId="4BC818BE" w14:textId="1801E935" w:rsidR="0024788F" w:rsidRPr="00A8519F" w:rsidRDefault="003261FD" w:rsidP="0024788F">
            <w:pPr>
              <w:pStyle w:val="a3"/>
              <w:numPr>
                <w:ilvl w:val="0"/>
                <w:numId w:val="1"/>
              </w:numPr>
              <w:spacing w:line="440" w:lineRule="exact"/>
              <w:ind w:leftChars="0"/>
              <w:jc w:val="both"/>
              <w:rPr>
                <w:rFonts w:ascii="Times New Roman" w:eastAsia="標楷體" w:hAnsi="Times New Roman" w:cs="Times New Roman"/>
                <w:color w:val="000000" w:themeColor="text1"/>
                <w:szCs w:val="24"/>
              </w:rPr>
            </w:pPr>
            <w:r w:rsidRPr="00A8519F">
              <w:rPr>
                <w:rFonts w:ascii="Times New Roman" w:eastAsia="標楷體" w:hAnsi="Times New Roman" w:cs="Times New Roman"/>
                <w:color w:val="000000" w:themeColor="text1"/>
                <w:szCs w:val="24"/>
              </w:rPr>
              <w:t>為發展我國國際債券市場，增加國際債券發行量及標的多元性，</w:t>
            </w:r>
            <w:r w:rsidR="002372C5" w:rsidRPr="00A8519F">
              <w:rPr>
                <w:rFonts w:ascii="Times New Roman" w:eastAsia="標楷體" w:hAnsi="Times New Roman" w:cs="Times New Roman"/>
                <w:color w:val="000000" w:themeColor="text1"/>
                <w:szCs w:val="24"/>
              </w:rPr>
              <w:t>參考證交所「營業細則」第</w:t>
            </w:r>
            <w:r w:rsidR="002372C5" w:rsidRPr="00A8519F">
              <w:rPr>
                <w:rFonts w:ascii="Times New Roman" w:eastAsia="標楷體" w:hAnsi="Times New Roman" w:cs="Times New Roman"/>
                <w:color w:val="000000" w:themeColor="text1"/>
                <w:szCs w:val="24"/>
              </w:rPr>
              <w:t>94</w:t>
            </w:r>
            <w:r w:rsidR="002372C5" w:rsidRPr="00A8519F">
              <w:rPr>
                <w:rFonts w:ascii="Times New Roman" w:eastAsia="標楷體" w:hAnsi="Times New Roman" w:cs="Times New Roman"/>
                <w:color w:val="000000" w:themeColor="text1"/>
                <w:szCs w:val="24"/>
              </w:rPr>
              <w:t>條及本公會「證券商受託買賣外國有價證券管理辦法」第</w:t>
            </w:r>
            <w:r w:rsidR="002372C5" w:rsidRPr="00A8519F">
              <w:rPr>
                <w:rFonts w:ascii="Times New Roman" w:eastAsia="標楷體" w:hAnsi="Times New Roman" w:cs="Times New Roman"/>
                <w:color w:val="000000" w:themeColor="text1"/>
                <w:szCs w:val="24"/>
              </w:rPr>
              <w:t>31</w:t>
            </w:r>
            <w:r w:rsidR="002372C5" w:rsidRPr="00A8519F">
              <w:rPr>
                <w:rFonts w:ascii="Times New Roman" w:eastAsia="標楷體" w:hAnsi="Times New Roman" w:cs="Times New Roman"/>
                <w:color w:val="000000" w:themeColor="text1"/>
                <w:szCs w:val="24"/>
              </w:rPr>
              <w:t>條之</w:t>
            </w:r>
            <w:r w:rsidR="002372C5" w:rsidRPr="00A8519F">
              <w:rPr>
                <w:rFonts w:ascii="Times New Roman" w:eastAsia="標楷體" w:hAnsi="Times New Roman" w:cs="Times New Roman"/>
                <w:color w:val="000000" w:themeColor="text1"/>
                <w:szCs w:val="24"/>
              </w:rPr>
              <w:t>1</w:t>
            </w:r>
            <w:r w:rsidR="002372C5" w:rsidRPr="00A8519F">
              <w:rPr>
                <w:rFonts w:ascii="Times New Roman" w:eastAsia="標楷體" w:hAnsi="Times New Roman" w:cs="Times New Roman"/>
                <w:color w:val="000000" w:themeColor="text1"/>
                <w:szCs w:val="24"/>
              </w:rPr>
              <w:t>，有關證券商受託買賣有價證券得就所收取手續費給付報酬予介紹人之規範，</w:t>
            </w:r>
            <w:r w:rsidR="0024788F" w:rsidRPr="00A8519F">
              <w:rPr>
                <w:rFonts w:ascii="Times New Roman" w:eastAsia="標楷體" w:hAnsi="Times New Roman" w:cs="Times New Roman" w:hint="eastAsia"/>
                <w:color w:val="000000" w:themeColor="text1"/>
                <w:szCs w:val="24"/>
              </w:rPr>
              <w:t>於第一項</w:t>
            </w:r>
            <w:r w:rsidRPr="00A8519F">
              <w:rPr>
                <w:rFonts w:ascii="Times New Roman" w:eastAsia="標楷體" w:hAnsi="Times New Roman" w:cs="Times New Roman"/>
                <w:color w:val="000000" w:themeColor="text1"/>
                <w:szCs w:val="24"/>
              </w:rPr>
              <w:t>明訂承銷商輔導外國發行人發行國際債，得</w:t>
            </w:r>
            <w:r w:rsidR="00E01472" w:rsidRPr="00A8519F">
              <w:rPr>
                <w:rFonts w:ascii="Times New Roman" w:eastAsia="標楷體" w:hAnsi="Times New Roman" w:cs="Times New Roman"/>
                <w:color w:val="000000" w:themeColor="text1"/>
                <w:szCs w:val="24"/>
              </w:rPr>
              <w:t>與</w:t>
            </w:r>
            <w:r w:rsidR="00E01472" w:rsidRPr="00A8519F">
              <w:rPr>
                <w:rFonts w:ascii="Times New Roman" w:eastAsia="標楷體" w:hAnsi="Times New Roman" w:cs="Times New Roman" w:hint="eastAsia"/>
                <w:color w:val="000000" w:themeColor="text1"/>
                <w:szCs w:val="24"/>
              </w:rPr>
              <w:t>境外金融機構</w:t>
            </w:r>
            <w:r w:rsidRPr="00A8519F">
              <w:rPr>
                <w:rFonts w:ascii="Times New Roman" w:eastAsia="標楷體" w:hAnsi="Times New Roman" w:cs="Times New Roman"/>
                <w:color w:val="000000" w:themeColor="text1"/>
                <w:szCs w:val="24"/>
              </w:rPr>
              <w:t>簽訂契約引介</w:t>
            </w:r>
            <w:r w:rsidR="00E01472" w:rsidRPr="00A8519F">
              <w:rPr>
                <w:rFonts w:ascii="Times New Roman" w:eastAsia="標楷體" w:hAnsi="Times New Roman" w:cs="Times New Roman" w:hint="eastAsia"/>
                <w:color w:val="000000" w:themeColor="text1"/>
                <w:szCs w:val="24"/>
              </w:rPr>
              <w:t>外國</w:t>
            </w:r>
            <w:r w:rsidRPr="00A8519F">
              <w:rPr>
                <w:rFonts w:ascii="Times New Roman" w:eastAsia="標楷體" w:hAnsi="Times New Roman" w:cs="Times New Roman"/>
                <w:color w:val="000000" w:themeColor="text1"/>
                <w:szCs w:val="24"/>
              </w:rPr>
              <w:t>企業來臺發行國際債券，承銷商並得給付報酬予該</w:t>
            </w:r>
            <w:r w:rsidR="00E01472" w:rsidRPr="00A8519F">
              <w:rPr>
                <w:rFonts w:ascii="Times New Roman" w:eastAsia="標楷體" w:hAnsi="Times New Roman" w:cs="Times New Roman" w:hint="eastAsia"/>
                <w:color w:val="000000" w:themeColor="text1"/>
                <w:szCs w:val="24"/>
              </w:rPr>
              <w:t>境外金融機構</w:t>
            </w:r>
            <w:r w:rsidR="0024788F" w:rsidRPr="00A8519F">
              <w:rPr>
                <w:rFonts w:ascii="Times New Roman" w:eastAsia="標楷體" w:hAnsi="Times New Roman" w:cs="Times New Roman" w:hint="eastAsia"/>
                <w:color w:val="000000" w:themeColor="text1"/>
                <w:szCs w:val="24"/>
              </w:rPr>
              <w:t>，並</w:t>
            </w:r>
            <w:r w:rsidR="00E01472" w:rsidRPr="00A8519F">
              <w:rPr>
                <w:rFonts w:ascii="Times New Roman" w:eastAsia="標楷體" w:hAnsi="Times New Roman" w:cs="Times New Roman"/>
                <w:color w:val="000000" w:themeColor="text1"/>
                <w:szCs w:val="24"/>
              </w:rPr>
              <w:t>參考</w:t>
            </w:r>
            <w:r w:rsidR="00E01472" w:rsidRPr="00A8519F">
              <w:rPr>
                <w:rFonts w:ascii="Times New Roman" w:eastAsia="標楷體" w:hAnsi="Times New Roman" w:cs="Times New Roman" w:hint="eastAsia"/>
                <w:color w:val="000000" w:themeColor="text1"/>
                <w:szCs w:val="24"/>
              </w:rPr>
              <w:t>主管機關</w:t>
            </w:r>
            <w:r w:rsidR="00E01472" w:rsidRPr="00A8519F">
              <w:rPr>
                <w:rFonts w:ascii="Times New Roman" w:eastAsia="標楷體" w:hAnsi="Times New Roman" w:cs="Times New Roman"/>
                <w:color w:val="000000" w:themeColor="text1"/>
                <w:szCs w:val="24"/>
              </w:rPr>
              <w:t>「證券商管理規則」第</w:t>
            </w:r>
            <w:r w:rsidR="00E01472" w:rsidRPr="00A8519F">
              <w:rPr>
                <w:rFonts w:ascii="Times New Roman" w:eastAsia="標楷體" w:hAnsi="Times New Roman" w:cs="Times New Roman"/>
                <w:color w:val="000000" w:themeColor="text1"/>
                <w:szCs w:val="24"/>
              </w:rPr>
              <w:t>31</w:t>
            </w:r>
            <w:r w:rsidR="00E01472" w:rsidRPr="00A8519F">
              <w:rPr>
                <w:rFonts w:ascii="Times New Roman" w:eastAsia="標楷體" w:hAnsi="Times New Roman" w:cs="Times New Roman"/>
                <w:color w:val="000000" w:themeColor="text1"/>
                <w:szCs w:val="24"/>
              </w:rPr>
              <w:t>條之</w:t>
            </w:r>
            <w:r w:rsidR="00E01472" w:rsidRPr="00A8519F">
              <w:rPr>
                <w:rFonts w:ascii="Times New Roman" w:eastAsia="標楷體" w:hAnsi="Times New Roman" w:cs="Times New Roman"/>
                <w:color w:val="000000" w:themeColor="text1"/>
                <w:szCs w:val="24"/>
              </w:rPr>
              <w:t>3</w:t>
            </w:r>
            <w:r w:rsidR="00E01472" w:rsidRPr="00A8519F">
              <w:rPr>
                <w:rFonts w:ascii="Times New Roman" w:eastAsia="標楷體" w:hAnsi="Times New Roman" w:cs="Times New Roman" w:hint="eastAsia"/>
                <w:color w:val="000000" w:themeColor="text1"/>
                <w:szCs w:val="24"/>
              </w:rPr>
              <w:t>，有關</w:t>
            </w:r>
            <w:r w:rsidR="00E01472" w:rsidRPr="00A8519F">
              <w:rPr>
                <w:rFonts w:ascii="Times New Roman" w:eastAsia="標楷體" w:hAnsi="Times New Roman" w:cs="Times New Roman"/>
                <w:color w:val="000000" w:themeColor="text1"/>
                <w:szCs w:val="24"/>
              </w:rPr>
              <w:t>證券商與海外關係企業交易對象</w:t>
            </w:r>
            <w:r w:rsidR="00E01472" w:rsidRPr="00A8519F">
              <w:rPr>
                <w:rFonts w:ascii="Times New Roman" w:eastAsia="標楷體" w:hAnsi="Times New Roman" w:cs="Times New Roman"/>
                <w:color w:val="000000" w:themeColor="text1"/>
                <w:szCs w:val="24"/>
              </w:rPr>
              <w:lastRenderedPageBreak/>
              <w:t>之限制</w:t>
            </w:r>
            <w:r w:rsidR="00E01472" w:rsidRPr="00A8519F">
              <w:rPr>
                <w:rFonts w:ascii="Times New Roman" w:eastAsia="標楷體" w:hAnsi="Times New Roman" w:cs="Times New Roman" w:hint="eastAsia"/>
                <w:color w:val="000000" w:themeColor="text1"/>
                <w:szCs w:val="24"/>
              </w:rPr>
              <w:t>，明訂境外金融機構</w:t>
            </w:r>
            <w:r w:rsidR="00242458" w:rsidRPr="00A8519F">
              <w:rPr>
                <w:rFonts w:ascii="Times New Roman" w:eastAsia="標楷體" w:hAnsi="Times New Roman" w:cs="Times New Roman" w:hint="eastAsia"/>
                <w:color w:val="000000" w:themeColor="text1"/>
                <w:szCs w:val="24"/>
              </w:rPr>
              <w:t>資格為「</w:t>
            </w:r>
            <w:r w:rsidR="00E01472" w:rsidRPr="00A8519F">
              <w:rPr>
                <w:rFonts w:ascii="Times New Roman" w:eastAsia="標楷體" w:hAnsi="Times New Roman" w:cs="Times New Roman" w:hint="eastAsia"/>
                <w:color w:val="000000" w:themeColor="text1"/>
                <w:szCs w:val="24"/>
              </w:rPr>
              <w:t>註冊於國際證券管理機構組織</w:t>
            </w:r>
            <w:r w:rsidR="00E01472" w:rsidRPr="00A8519F">
              <w:rPr>
                <w:rFonts w:ascii="Times New Roman" w:eastAsia="標楷體" w:hAnsi="Times New Roman" w:cs="Times New Roman" w:hint="eastAsia"/>
                <w:color w:val="000000" w:themeColor="text1"/>
                <w:szCs w:val="24"/>
              </w:rPr>
              <w:t>(IOSCO)</w:t>
            </w:r>
            <w:r w:rsidR="00E01472" w:rsidRPr="00A8519F">
              <w:rPr>
                <w:rFonts w:ascii="Times New Roman" w:eastAsia="標楷體" w:hAnsi="Times New Roman" w:cs="Times New Roman" w:hint="eastAsia"/>
                <w:color w:val="000000" w:themeColor="text1"/>
                <w:szCs w:val="24"/>
              </w:rPr>
              <w:t>多邊瞭解備忘錄</w:t>
            </w:r>
            <w:r w:rsidR="00E01472" w:rsidRPr="00A8519F">
              <w:rPr>
                <w:rFonts w:ascii="Times New Roman" w:eastAsia="標楷體" w:hAnsi="Times New Roman" w:cs="Times New Roman" w:hint="eastAsia"/>
                <w:color w:val="000000" w:themeColor="text1"/>
                <w:szCs w:val="24"/>
              </w:rPr>
              <w:t>(MMoU)</w:t>
            </w:r>
            <w:r w:rsidR="00E01472" w:rsidRPr="00A8519F">
              <w:rPr>
                <w:rFonts w:ascii="Times New Roman" w:eastAsia="標楷體" w:hAnsi="Times New Roman" w:cs="Times New Roman" w:hint="eastAsia"/>
                <w:color w:val="000000" w:themeColor="text1"/>
                <w:szCs w:val="24"/>
              </w:rPr>
              <w:t>簽署會員地，領有金融業務執照且受當地主管機關監理</w:t>
            </w:r>
            <w:r w:rsidR="00242458" w:rsidRPr="00A8519F">
              <w:rPr>
                <w:rFonts w:ascii="Times New Roman" w:eastAsia="標楷體" w:hAnsi="Times New Roman" w:cs="Times New Roman" w:hint="eastAsia"/>
                <w:color w:val="000000" w:themeColor="text1"/>
                <w:szCs w:val="24"/>
              </w:rPr>
              <w:t>者」。</w:t>
            </w:r>
          </w:p>
          <w:p w14:paraId="1A9F66F4" w14:textId="2037AFF5" w:rsidR="0024788F" w:rsidRPr="00A8519F" w:rsidRDefault="0024788F" w:rsidP="0024788F">
            <w:pPr>
              <w:pStyle w:val="a3"/>
              <w:numPr>
                <w:ilvl w:val="0"/>
                <w:numId w:val="1"/>
              </w:numPr>
              <w:spacing w:line="440" w:lineRule="exact"/>
              <w:ind w:leftChars="0"/>
              <w:jc w:val="both"/>
              <w:rPr>
                <w:rFonts w:ascii="Times New Roman" w:eastAsia="標楷體" w:hAnsi="Times New Roman" w:cs="Times New Roman"/>
                <w:color w:val="000000" w:themeColor="text1"/>
                <w:szCs w:val="24"/>
                <w:u w:val="single"/>
              </w:rPr>
            </w:pPr>
            <w:r w:rsidRPr="00A8519F">
              <w:rPr>
                <w:rFonts w:ascii="Times New Roman" w:eastAsia="標楷體" w:hAnsi="Times New Roman" w:cs="Times New Roman" w:hint="eastAsia"/>
                <w:color w:val="000000" w:themeColor="text1"/>
                <w:szCs w:val="24"/>
              </w:rPr>
              <w:t>於第二項明訂承銷商應於契約訂定雙方權利</w:t>
            </w:r>
            <w:r w:rsidR="002F1E22">
              <w:rPr>
                <w:rFonts w:ascii="Times New Roman" w:eastAsia="標楷體" w:hAnsi="Times New Roman" w:cs="Times New Roman" w:hint="eastAsia"/>
                <w:color w:val="000000" w:themeColor="text1"/>
                <w:szCs w:val="24"/>
              </w:rPr>
              <w:t>義</w:t>
            </w:r>
            <w:r w:rsidRPr="00A8519F">
              <w:rPr>
                <w:rFonts w:ascii="Times New Roman" w:eastAsia="標楷體" w:hAnsi="Times New Roman" w:cs="Times New Roman" w:hint="eastAsia"/>
                <w:color w:val="000000" w:themeColor="text1"/>
                <w:szCs w:val="24"/>
              </w:rPr>
              <w:t>務及</w:t>
            </w:r>
            <w:r w:rsidR="00146126" w:rsidRPr="00A8519F">
              <w:rPr>
                <w:rFonts w:ascii="Times New Roman" w:eastAsia="標楷體" w:hAnsi="Times New Roman" w:cs="Times New Roman" w:hint="eastAsia"/>
                <w:color w:val="000000" w:themeColor="text1"/>
                <w:szCs w:val="24"/>
              </w:rPr>
              <w:t>手續費</w:t>
            </w:r>
            <w:r w:rsidRPr="00A8519F">
              <w:rPr>
                <w:rFonts w:ascii="Times New Roman" w:eastAsia="標楷體" w:hAnsi="Times New Roman" w:cs="Times New Roman" w:hint="eastAsia"/>
                <w:color w:val="000000" w:themeColor="text1"/>
                <w:szCs w:val="24"/>
              </w:rPr>
              <w:t>分潤條件。</w:t>
            </w:r>
          </w:p>
          <w:p w14:paraId="523056EF" w14:textId="641CB3FA" w:rsidR="00930821" w:rsidRPr="00A8519F" w:rsidRDefault="0024788F" w:rsidP="002F1E22">
            <w:pPr>
              <w:pStyle w:val="a3"/>
              <w:numPr>
                <w:ilvl w:val="0"/>
                <w:numId w:val="1"/>
              </w:numPr>
              <w:spacing w:line="440" w:lineRule="exact"/>
              <w:ind w:leftChars="0"/>
              <w:jc w:val="both"/>
              <w:rPr>
                <w:rFonts w:ascii="Times New Roman" w:eastAsia="標楷體" w:hAnsi="Times New Roman" w:cs="Times New Roman"/>
                <w:color w:val="000000" w:themeColor="text1"/>
                <w:szCs w:val="24"/>
              </w:rPr>
            </w:pPr>
            <w:r w:rsidRPr="00A8519F">
              <w:rPr>
                <w:rFonts w:ascii="Times New Roman" w:eastAsia="標楷體" w:hAnsi="Times New Roman" w:cs="Times New Roman" w:hint="eastAsia"/>
                <w:color w:val="000000" w:themeColor="text1"/>
                <w:szCs w:val="24"/>
              </w:rPr>
              <w:t>於第三項明訂</w:t>
            </w:r>
            <w:r w:rsidR="0041587C" w:rsidRPr="00A8519F">
              <w:rPr>
                <w:rFonts w:ascii="Times New Roman" w:eastAsia="標楷體" w:hAnsi="Times New Roman" w:cs="Times New Roman" w:hint="eastAsia"/>
                <w:color w:val="000000" w:themeColor="text1"/>
                <w:szCs w:val="24"/>
              </w:rPr>
              <w:t>國際債券</w:t>
            </w:r>
            <w:r w:rsidR="00E278EE" w:rsidRPr="00A8519F">
              <w:rPr>
                <w:rFonts w:ascii="Times New Roman" w:eastAsia="標楷體" w:hAnsi="Times New Roman" w:cs="Times New Roman" w:hint="eastAsia"/>
                <w:color w:val="000000" w:themeColor="text1"/>
                <w:szCs w:val="24"/>
              </w:rPr>
              <w:t>以</w:t>
            </w:r>
            <w:bookmarkStart w:id="1" w:name="_Hlk197694036"/>
            <w:r w:rsidR="00E278EE" w:rsidRPr="00A8519F">
              <w:rPr>
                <w:rFonts w:ascii="Times New Roman" w:eastAsia="標楷體" w:hAnsi="Times New Roman" w:cs="Times New Roman" w:hint="eastAsia"/>
                <w:color w:val="000000" w:themeColor="text1"/>
                <w:szCs w:val="24"/>
              </w:rPr>
              <w:t>非屬本國發行人、第一上市</w:t>
            </w:r>
            <w:r w:rsidR="00E278EE" w:rsidRPr="00A8519F">
              <w:rPr>
                <w:rFonts w:ascii="Times New Roman" w:eastAsia="標楷體" w:hAnsi="Times New Roman" w:cs="Times New Roman" w:hint="eastAsia"/>
                <w:color w:val="000000" w:themeColor="text1"/>
                <w:szCs w:val="24"/>
              </w:rPr>
              <w:t>(</w:t>
            </w:r>
            <w:r w:rsidR="00E278EE" w:rsidRPr="00A8519F">
              <w:rPr>
                <w:rFonts w:ascii="Times New Roman" w:eastAsia="標楷體" w:hAnsi="Times New Roman" w:cs="Times New Roman" w:hint="eastAsia"/>
                <w:color w:val="000000" w:themeColor="text1"/>
                <w:szCs w:val="24"/>
              </w:rPr>
              <w:t>櫃</w:t>
            </w:r>
            <w:r w:rsidR="00E278EE" w:rsidRPr="00A8519F">
              <w:rPr>
                <w:rFonts w:ascii="Times New Roman" w:eastAsia="標楷體" w:hAnsi="Times New Roman" w:cs="Times New Roman" w:hint="eastAsia"/>
                <w:color w:val="000000" w:themeColor="text1"/>
                <w:szCs w:val="24"/>
              </w:rPr>
              <w:t>)</w:t>
            </w:r>
            <w:r w:rsidR="00E278EE" w:rsidRPr="00A8519F">
              <w:rPr>
                <w:rFonts w:ascii="Times New Roman" w:eastAsia="標楷體" w:hAnsi="Times New Roman" w:cs="Times New Roman" w:hint="eastAsia"/>
                <w:color w:val="000000" w:themeColor="text1"/>
                <w:szCs w:val="24"/>
              </w:rPr>
              <w:t>公司及興櫃公司之外國發行人</w:t>
            </w:r>
            <w:bookmarkEnd w:id="1"/>
            <w:r w:rsidR="00E278EE" w:rsidRPr="00A8519F">
              <w:rPr>
                <w:rFonts w:ascii="Times New Roman" w:eastAsia="標楷體" w:hAnsi="Times New Roman" w:cs="Times New Roman" w:hint="eastAsia"/>
                <w:color w:val="000000" w:themeColor="text1"/>
                <w:szCs w:val="24"/>
              </w:rPr>
              <w:t>所發行</w:t>
            </w:r>
            <w:r w:rsidR="00242458" w:rsidRPr="00A8519F">
              <w:rPr>
                <w:rFonts w:ascii="Times New Roman" w:eastAsia="標楷體" w:hAnsi="Times New Roman" w:cs="Times New Roman" w:hint="eastAsia"/>
                <w:color w:val="000000" w:themeColor="text1"/>
                <w:szCs w:val="24"/>
              </w:rPr>
              <w:t>外幣計價之國際組織債券、政府</w:t>
            </w:r>
            <w:r w:rsidR="00242458" w:rsidRPr="00A8519F">
              <w:rPr>
                <w:rFonts w:ascii="Times New Roman" w:eastAsia="標楷體" w:hAnsi="Times New Roman" w:cs="Times New Roman"/>
                <w:color w:val="000000" w:themeColor="text1"/>
                <w:szCs w:val="24"/>
              </w:rPr>
              <w:t>債券</w:t>
            </w:r>
            <w:r w:rsidR="00242458" w:rsidRPr="00A8519F">
              <w:rPr>
                <w:rFonts w:ascii="Times New Roman" w:eastAsia="標楷體" w:hAnsi="Times New Roman" w:cs="Times New Roman" w:hint="eastAsia"/>
                <w:color w:val="000000" w:themeColor="text1"/>
                <w:szCs w:val="24"/>
              </w:rPr>
              <w:t>、普通公司債等債券為限</w:t>
            </w:r>
            <w:r w:rsidR="0041587C" w:rsidRPr="00A8519F">
              <w:rPr>
                <w:rFonts w:ascii="Times New Roman" w:eastAsia="標楷體" w:hAnsi="Times New Roman" w:cs="Times New Roman" w:hint="eastAsia"/>
                <w:color w:val="000000" w:themeColor="text1"/>
                <w:szCs w:val="24"/>
              </w:rPr>
              <w:t>。</w:t>
            </w:r>
          </w:p>
        </w:tc>
      </w:tr>
      <w:bookmarkEnd w:id="0"/>
    </w:tbl>
    <w:p w14:paraId="00FB7710" w14:textId="77777777" w:rsidR="002003FA" w:rsidRPr="003261FD" w:rsidRDefault="002003FA"/>
    <w:sectPr w:rsidR="002003FA" w:rsidRPr="003261FD" w:rsidSect="009D4D46">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F0E13" w14:textId="77777777" w:rsidR="00E85683" w:rsidRDefault="00E85683" w:rsidP="00524885">
      <w:r>
        <w:separator/>
      </w:r>
    </w:p>
  </w:endnote>
  <w:endnote w:type="continuationSeparator" w:id="0">
    <w:p w14:paraId="401C5112" w14:textId="77777777" w:rsidR="00E85683" w:rsidRDefault="00E85683" w:rsidP="0052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475324"/>
      <w:docPartObj>
        <w:docPartGallery w:val="Page Numbers (Bottom of Page)"/>
        <w:docPartUnique/>
      </w:docPartObj>
    </w:sdtPr>
    <w:sdtContent>
      <w:p w14:paraId="199ABC08" w14:textId="5BC11F09" w:rsidR="00A8519F" w:rsidRDefault="00A8519F">
        <w:pPr>
          <w:pStyle w:val="a6"/>
          <w:jc w:val="center"/>
        </w:pPr>
        <w:r>
          <w:fldChar w:fldCharType="begin"/>
        </w:r>
        <w:r>
          <w:instrText>PAGE   \* MERGEFORMAT</w:instrText>
        </w:r>
        <w:r>
          <w:fldChar w:fldCharType="separate"/>
        </w:r>
        <w:r>
          <w:rPr>
            <w:lang w:val="zh-TW"/>
          </w:rPr>
          <w:t>2</w:t>
        </w:r>
        <w:r>
          <w:fldChar w:fldCharType="end"/>
        </w:r>
      </w:p>
    </w:sdtContent>
  </w:sdt>
  <w:p w14:paraId="0D05AF69" w14:textId="77777777" w:rsidR="00A8519F" w:rsidRDefault="00A851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8D2AA" w14:textId="77777777" w:rsidR="00E85683" w:rsidRDefault="00E85683" w:rsidP="00524885">
      <w:r>
        <w:separator/>
      </w:r>
    </w:p>
  </w:footnote>
  <w:footnote w:type="continuationSeparator" w:id="0">
    <w:p w14:paraId="334B4CDB" w14:textId="77777777" w:rsidR="00E85683" w:rsidRDefault="00E85683" w:rsidP="00524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22DD7"/>
    <w:multiLevelType w:val="hybridMultilevel"/>
    <w:tmpl w:val="6F6616E2"/>
    <w:lvl w:ilvl="0" w:tplc="76E8297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432749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1FD"/>
    <w:rsid w:val="00033F08"/>
    <w:rsid w:val="000E2C4B"/>
    <w:rsid w:val="00146126"/>
    <w:rsid w:val="002003FA"/>
    <w:rsid w:val="00210795"/>
    <w:rsid w:val="002372C5"/>
    <w:rsid w:val="00242458"/>
    <w:rsid w:val="0024788F"/>
    <w:rsid w:val="00280755"/>
    <w:rsid w:val="002F1E22"/>
    <w:rsid w:val="003022A1"/>
    <w:rsid w:val="003261FD"/>
    <w:rsid w:val="00365FB9"/>
    <w:rsid w:val="00406B31"/>
    <w:rsid w:val="0041587C"/>
    <w:rsid w:val="00457762"/>
    <w:rsid w:val="00471F84"/>
    <w:rsid w:val="004A7AA0"/>
    <w:rsid w:val="00524885"/>
    <w:rsid w:val="0057770B"/>
    <w:rsid w:val="005A3254"/>
    <w:rsid w:val="006C17DD"/>
    <w:rsid w:val="007C2343"/>
    <w:rsid w:val="007C5CCD"/>
    <w:rsid w:val="007C7B49"/>
    <w:rsid w:val="00862749"/>
    <w:rsid w:val="00920DD0"/>
    <w:rsid w:val="00930821"/>
    <w:rsid w:val="0094136C"/>
    <w:rsid w:val="00946ED6"/>
    <w:rsid w:val="009D4D46"/>
    <w:rsid w:val="00A5141D"/>
    <w:rsid w:val="00A8519F"/>
    <w:rsid w:val="00BB610D"/>
    <w:rsid w:val="00CA64D6"/>
    <w:rsid w:val="00CD42EB"/>
    <w:rsid w:val="00E01472"/>
    <w:rsid w:val="00E278EE"/>
    <w:rsid w:val="00E85683"/>
    <w:rsid w:val="00F729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7431D"/>
  <w15:chartTrackingRefBased/>
  <w15:docId w15:val="{C9F2440A-FD4F-442F-BE42-7A2722B74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1F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61FD"/>
    <w:pPr>
      <w:ind w:leftChars="200" w:left="480"/>
    </w:pPr>
  </w:style>
  <w:style w:type="paragraph" w:styleId="a4">
    <w:name w:val="header"/>
    <w:basedOn w:val="a"/>
    <w:link w:val="a5"/>
    <w:uiPriority w:val="99"/>
    <w:unhideWhenUsed/>
    <w:rsid w:val="00524885"/>
    <w:pPr>
      <w:tabs>
        <w:tab w:val="center" w:pos="4153"/>
        <w:tab w:val="right" w:pos="8306"/>
      </w:tabs>
      <w:snapToGrid w:val="0"/>
    </w:pPr>
    <w:rPr>
      <w:sz w:val="20"/>
      <w:szCs w:val="20"/>
    </w:rPr>
  </w:style>
  <w:style w:type="character" w:customStyle="1" w:styleId="a5">
    <w:name w:val="頁首 字元"/>
    <w:basedOn w:val="a0"/>
    <w:link w:val="a4"/>
    <w:uiPriority w:val="99"/>
    <w:rsid w:val="00524885"/>
    <w:rPr>
      <w:sz w:val="20"/>
      <w:szCs w:val="20"/>
    </w:rPr>
  </w:style>
  <w:style w:type="paragraph" w:styleId="a6">
    <w:name w:val="footer"/>
    <w:basedOn w:val="a"/>
    <w:link w:val="a7"/>
    <w:uiPriority w:val="99"/>
    <w:unhideWhenUsed/>
    <w:rsid w:val="00524885"/>
    <w:pPr>
      <w:tabs>
        <w:tab w:val="center" w:pos="4153"/>
        <w:tab w:val="right" w:pos="8306"/>
      </w:tabs>
      <w:snapToGrid w:val="0"/>
    </w:pPr>
    <w:rPr>
      <w:sz w:val="20"/>
      <w:szCs w:val="20"/>
    </w:rPr>
  </w:style>
  <w:style w:type="character" w:customStyle="1" w:styleId="a7">
    <w:name w:val="頁尾 字元"/>
    <w:basedOn w:val="a0"/>
    <w:link w:val="a6"/>
    <w:uiPriority w:val="99"/>
    <w:rsid w:val="0052488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鍾韻琳</dc:creator>
  <cp:keywords/>
  <dc:description/>
  <cp:lastModifiedBy>鍾韻琳</cp:lastModifiedBy>
  <cp:revision>3</cp:revision>
  <cp:lastPrinted>2025-05-09T06:45:00Z</cp:lastPrinted>
  <dcterms:created xsi:type="dcterms:W3CDTF">2025-05-20T01:22:00Z</dcterms:created>
  <dcterms:modified xsi:type="dcterms:W3CDTF">2025-05-20T01:30:00Z</dcterms:modified>
</cp:coreProperties>
</file>